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A6640" w14:textId="77777777" w:rsidR="00646DE1" w:rsidRDefault="00386284">
      <w:pPr>
        <w:tabs>
          <w:tab w:val="left" w:pos="432"/>
        </w:tabs>
        <w:spacing w:after="0" w:line="240" w:lineRule="auto"/>
        <w:rPr>
          <w:rFonts w:ascii="Times New Roman" w:eastAsia="Times New Roman" w:hAnsi="Times New Roman" w:cs="Times New Roman"/>
          <w:b/>
          <w:color w:val="B2071B"/>
          <w:sz w:val="18"/>
          <w:szCs w:val="18"/>
        </w:rPr>
      </w:pPr>
      <w:bookmarkStart w:id="0" w:name="_heading=h.1fob9te" w:colFirst="0" w:colLast="0"/>
      <w:bookmarkEnd w:id="0"/>
      <w:r>
        <w:rPr>
          <w:noProof/>
        </w:rPr>
        <w:drawing>
          <wp:anchor distT="0" distB="0" distL="114300" distR="114300" simplePos="0" relativeHeight="251658240" behindDoc="0" locked="0" layoutInCell="1" hidden="0" allowOverlap="1" wp14:anchorId="2895D4C0" wp14:editId="170F98BA">
            <wp:simplePos x="0" y="0"/>
            <wp:positionH relativeFrom="column">
              <wp:posOffset>3171190</wp:posOffset>
            </wp:positionH>
            <wp:positionV relativeFrom="paragraph">
              <wp:posOffset>0</wp:posOffset>
            </wp:positionV>
            <wp:extent cx="3219450" cy="971550"/>
            <wp:effectExtent l="0" t="0" r="0" b="0"/>
            <wp:wrapSquare wrapText="bothSides" distT="0" distB="0" distL="114300" distR="114300"/>
            <wp:docPr id="34" name="image1.png" descr="Università degli Studi di Padova"/>
            <wp:cNvGraphicFramePr/>
            <a:graphic xmlns:a="http://schemas.openxmlformats.org/drawingml/2006/main">
              <a:graphicData uri="http://schemas.openxmlformats.org/drawingml/2006/picture">
                <pic:pic xmlns:pic="http://schemas.openxmlformats.org/drawingml/2006/picture">
                  <pic:nvPicPr>
                    <pic:cNvPr id="0" name="image1.png" descr="Università degli Studi di Padova"/>
                    <pic:cNvPicPr preferRelativeResize="0"/>
                  </pic:nvPicPr>
                  <pic:blipFill>
                    <a:blip r:embed="rId5"/>
                    <a:srcRect/>
                    <a:stretch>
                      <a:fillRect/>
                    </a:stretch>
                  </pic:blipFill>
                  <pic:spPr>
                    <a:xfrm>
                      <a:off x="0" y="0"/>
                      <a:ext cx="3219450" cy="971550"/>
                    </a:xfrm>
                    <a:prstGeom prst="rect">
                      <a:avLst/>
                    </a:prstGeom>
                    <a:ln/>
                  </pic:spPr>
                </pic:pic>
              </a:graphicData>
            </a:graphic>
          </wp:anchor>
        </w:drawing>
      </w:r>
    </w:p>
    <w:p w14:paraId="00E1561C" w14:textId="77777777" w:rsidR="00646DE1" w:rsidRDefault="00386284">
      <w:pPr>
        <w:tabs>
          <w:tab w:val="left" w:pos="432"/>
        </w:tabs>
        <w:spacing w:after="0" w:line="240" w:lineRule="auto"/>
        <w:rPr>
          <w:rFonts w:ascii="Times New Roman" w:eastAsia="Times New Roman" w:hAnsi="Times New Roman" w:cs="Times New Roman"/>
          <w:b/>
          <w:color w:val="B2071B"/>
          <w:sz w:val="18"/>
          <w:szCs w:val="18"/>
        </w:rPr>
      </w:pPr>
      <w:r>
        <w:rPr>
          <w:noProof/>
        </w:rPr>
        <w:drawing>
          <wp:anchor distT="0" distB="0" distL="114300" distR="114300" simplePos="0" relativeHeight="251659264" behindDoc="0" locked="0" layoutInCell="1" hidden="0" allowOverlap="1" wp14:anchorId="4C62DC47" wp14:editId="07A97F4A">
            <wp:simplePos x="0" y="0"/>
            <wp:positionH relativeFrom="column">
              <wp:posOffset>120015</wp:posOffset>
            </wp:positionH>
            <wp:positionV relativeFrom="paragraph">
              <wp:posOffset>17145</wp:posOffset>
            </wp:positionV>
            <wp:extent cx="695325" cy="800100"/>
            <wp:effectExtent l="0" t="0" r="0" b="0"/>
            <wp:wrapSquare wrapText="bothSides" distT="0" distB="0" distL="114300" distR="11430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95325" cy="800100"/>
                    </a:xfrm>
                    <a:prstGeom prst="rect">
                      <a:avLst/>
                    </a:prstGeom>
                    <a:ln/>
                  </pic:spPr>
                </pic:pic>
              </a:graphicData>
            </a:graphic>
          </wp:anchor>
        </w:drawing>
      </w:r>
    </w:p>
    <w:p w14:paraId="5FB10DC4" w14:textId="77777777" w:rsidR="00646DE1" w:rsidRDefault="00386284">
      <w:pPr>
        <w:tabs>
          <w:tab w:val="left" w:pos="432"/>
        </w:tabs>
        <w:spacing w:after="0" w:line="240" w:lineRule="auto"/>
        <w:rPr>
          <w:rFonts w:ascii="Times New Roman" w:eastAsia="Times New Roman" w:hAnsi="Times New Roman" w:cs="Times New Roman"/>
          <w:b/>
          <w:color w:val="B2071B"/>
          <w:sz w:val="18"/>
          <w:szCs w:val="18"/>
        </w:rPr>
      </w:pPr>
      <w:r>
        <w:rPr>
          <w:rFonts w:ascii="Times New Roman" w:eastAsia="Times New Roman" w:hAnsi="Times New Roman" w:cs="Times New Roman"/>
          <w:b/>
          <w:color w:val="B2071B"/>
          <w:sz w:val="18"/>
          <w:szCs w:val="18"/>
        </w:rPr>
        <w:t>DSF</w:t>
      </w:r>
    </w:p>
    <w:p w14:paraId="266A0EBE" w14:textId="77777777" w:rsidR="00646DE1" w:rsidRDefault="003862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B2071B"/>
          <w:sz w:val="18"/>
          <w:szCs w:val="18"/>
        </w:rPr>
        <w:t>DEPARTMENT OF PHARMACEUTICAL AND PHARMACOLOGICAL SCIENCES</w:t>
      </w:r>
    </w:p>
    <w:p w14:paraId="4DC45B9A" w14:textId="77777777" w:rsidR="00646DE1" w:rsidRDefault="00646DE1">
      <w:pPr>
        <w:jc w:val="right"/>
      </w:pPr>
    </w:p>
    <w:p w14:paraId="00FAEEDA" w14:textId="77777777" w:rsidR="00646DE1" w:rsidRDefault="00386284">
      <w:pPr>
        <w:ind w:left="142"/>
        <w:rPr>
          <w:rFonts w:ascii="Arial" w:eastAsia="Arial" w:hAnsi="Arial" w:cs="Arial"/>
        </w:rPr>
      </w:pPr>
      <w:hyperlink r:id="rId7">
        <w:r>
          <w:rPr>
            <w:color w:val="0000FF"/>
            <w:sz w:val="23"/>
            <w:szCs w:val="23"/>
            <w:u w:val="single"/>
          </w:rPr>
          <w:t>Technical Services and Scientific Equipment</w:t>
        </w:r>
      </w:hyperlink>
    </w:p>
    <w:p w14:paraId="35A9D4BF" w14:textId="77777777" w:rsidR="00646DE1" w:rsidRDefault="00386284">
      <w:pPr>
        <w:ind w:left="142"/>
        <w:rPr>
          <w:rFonts w:ascii="Arial" w:eastAsia="Arial" w:hAnsi="Arial" w:cs="Arial"/>
        </w:rPr>
      </w:pPr>
      <w:bookmarkStart w:id="1" w:name="_heading=h.gjdgxs" w:colFirst="0" w:colLast="0"/>
      <w:bookmarkEnd w:id="1"/>
      <w:r>
        <w:pict w14:anchorId="0C84F827">
          <v:rect id="_x0000_i1025" style="width:0;height:1.5pt" o:hralign="center" o:hrstd="t" o:hr="t" fillcolor="#a0a0a0" stroked="f"/>
        </w:pict>
      </w:r>
    </w:p>
    <w:p w14:paraId="4F537C07" w14:textId="77777777" w:rsidR="00646DE1" w:rsidRDefault="00386284">
      <w:pPr>
        <w:shd w:val="clear" w:color="auto" w:fill="FFFFFF"/>
        <w:spacing w:after="240"/>
        <w:jc w:val="center"/>
        <w:rPr>
          <w:b/>
          <w:sz w:val="48"/>
          <w:szCs w:val="48"/>
        </w:rPr>
      </w:pPr>
      <w:proofErr w:type="spellStart"/>
      <w:r>
        <w:rPr>
          <w:b/>
          <w:sz w:val="48"/>
          <w:szCs w:val="48"/>
        </w:rPr>
        <w:t>MacIn</w:t>
      </w:r>
      <w:proofErr w:type="spellEnd"/>
      <w:r>
        <w:rPr>
          <w:b/>
          <w:sz w:val="48"/>
          <w:szCs w:val="48"/>
        </w:rPr>
        <w:t xml:space="preserve"> Facility</w:t>
      </w:r>
    </w:p>
    <w:p w14:paraId="50C9F946" w14:textId="77777777" w:rsidR="00646DE1" w:rsidRDefault="00386284">
      <w:pPr>
        <w:jc w:val="center"/>
        <w:rPr>
          <w:sz w:val="24"/>
          <w:szCs w:val="24"/>
        </w:rPr>
      </w:pPr>
      <w:r>
        <w:rPr>
          <w:b/>
          <w:sz w:val="40"/>
          <w:szCs w:val="40"/>
        </w:rPr>
        <w:t>Mac</w:t>
      </w:r>
      <w:r>
        <w:rPr>
          <w:sz w:val="40"/>
          <w:szCs w:val="40"/>
        </w:rPr>
        <w:t xml:space="preserve">romolecular </w:t>
      </w:r>
      <w:r>
        <w:rPr>
          <w:b/>
          <w:sz w:val="40"/>
          <w:szCs w:val="40"/>
        </w:rPr>
        <w:t>In</w:t>
      </w:r>
      <w:r>
        <w:rPr>
          <w:sz w:val="40"/>
          <w:szCs w:val="40"/>
        </w:rPr>
        <w:t>teractions Facility</w:t>
      </w:r>
    </w:p>
    <w:p w14:paraId="6F6CDF5F" w14:textId="60A4A4E9" w:rsidR="00646DE1" w:rsidRDefault="00646DE1">
      <w:pPr>
        <w:shd w:val="clear" w:color="auto" w:fill="FFFFFF"/>
        <w:spacing w:after="240"/>
        <w:rPr>
          <w:sz w:val="24"/>
          <w:szCs w:val="24"/>
        </w:rPr>
      </w:pPr>
    </w:p>
    <w:p w14:paraId="27576D51" w14:textId="77777777" w:rsidR="008E43B1" w:rsidRDefault="008E43B1">
      <w:pPr>
        <w:shd w:val="clear" w:color="auto" w:fill="FFFFFF"/>
        <w:spacing w:after="240"/>
        <w:rPr>
          <w:sz w:val="24"/>
          <w:szCs w:val="24"/>
        </w:rPr>
      </w:pPr>
    </w:p>
    <w:p w14:paraId="3DAE5A3E" w14:textId="77777777" w:rsidR="00646DE1" w:rsidRDefault="00386284">
      <w:pPr>
        <w:spacing w:after="0"/>
        <w:rPr>
          <w:b/>
        </w:rPr>
      </w:pPr>
      <w:r>
        <w:rPr>
          <w:b/>
        </w:rPr>
        <w:t>Description and application fields</w:t>
      </w:r>
    </w:p>
    <w:p w14:paraId="64C8E486" w14:textId="77777777" w:rsidR="00646DE1" w:rsidRDefault="00386284">
      <w:pPr>
        <w:spacing w:after="0"/>
        <w:jc w:val="both"/>
      </w:pPr>
      <w:r>
        <w:t>The Macromolecular Interactions Facility (</w:t>
      </w:r>
      <w:proofErr w:type="spellStart"/>
      <w:r>
        <w:t>MacIn</w:t>
      </w:r>
      <w:proofErr w:type="spellEnd"/>
      <w:r>
        <w:t xml:space="preserve"> Facility) is a key research service of the University of Padua, housed in the Pharmaceutical and Pharmacological Sciences Department (DSF).</w:t>
      </w:r>
    </w:p>
    <w:p w14:paraId="09F3C705" w14:textId="77777777" w:rsidR="00646DE1" w:rsidRDefault="00386284">
      <w:pPr>
        <w:spacing w:after="0"/>
        <w:jc w:val="both"/>
      </w:pPr>
      <w:r>
        <w:t>The research facility allows the biophysical characterization and th</w:t>
      </w:r>
      <w:r>
        <w:t xml:space="preserve">e macromolecular interactions of peptides, proteins, oligomers (DNA and RNA) and other macromolecular systems, that are currently being investigated as drug delivery vehicles (micelles, vesicles, liposomes, </w:t>
      </w:r>
      <w:proofErr w:type="spellStart"/>
      <w:r>
        <w:t>polymersomes</w:t>
      </w:r>
      <w:proofErr w:type="spellEnd"/>
      <w:r>
        <w:t>, nanoparticles and so on). It provid</w:t>
      </w:r>
      <w:r>
        <w:t>es a wide range of instruments and resources for biophysical characterization (size, shape, and surface charge analyses), for complex formation, for substrate affinity and for thermal stability of many different macromolecular systems. Core instrumentation</w:t>
      </w:r>
      <w:r>
        <w:t>s include: a spectrofluorometer; a circular dichroism spectropolarimeter; surface plasmon resonance (SPR)-based biosensors; a microfluidic device to produce narrow-disperse lipid formulations; two dynamic light scattering instruments; differential scanning</w:t>
      </w:r>
      <w:r>
        <w:t xml:space="preserve"> and isothermal titration calorimeters; and a fluorescence microplate reader.</w:t>
      </w:r>
    </w:p>
    <w:p w14:paraId="6826B23A" w14:textId="77777777" w:rsidR="00646DE1" w:rsidRDefault="00386284">
      <w:pPr>
        <w:spacing w:after="0"/>
        <w:jc w:val="both"/>
      </w:pPr>
      <w:r>
        <w:t>A staff of senior technical experts will provide training courses for students and researchers, and it will support academic collaborations and biotech commercial services.</w:t>
      </w:r>
    </w:p>
    <w:p w14:paraId="2F9049BE" w14:textId="0A6C5FC8" w:rsidR="00646DE1" w:rsidRDefault="00646DE1">
      <w:pPr>
        <w:spacing w:after="0"/>
        <w:jc w:val="both"/>
      </w:pPr>
    </w:p>
    <w:p w14:paraId="7AA32A8F" w14:textId="77777777" w:rsidR="008E43B1" w:rsidRDefault="008E43B1">
      <w:pPr>
        <w:spacing w:after="0"/>
        <w:jc w:val="both"/>
      </w:pPr>
    </w:p>
    <w:p w14:paraId="4D69BC5D" w14:textId="77777777" w:rsidR="00646DE1" w:rsidRDefault="00646DE1">
      <w:pPr>
        <w:spacing w:after="0"/>
        <w:jc w:val="both"/>
      </w:pPr>
    </w:p>
    <w:p w14:paraId="4246516B" w14:textId="2DD60684" w:rsidR="00646DE1" w:rsidRPr="008E43B1" w:rsidRDefault="00386284" w:rsidP="008E43B1">
      <w:pPr>
        <w:spacing w:after="0" w:line="240" w:lineRule="auto"/>
        <w:rPr>
          <w:color w:val="0000FF"/>
          <w:u w:val="single"/>
        </w:rPr>
      </w:pPr>
      <w:r>
        <w:rPr>
          <w:b/>
        </w:rPr>
        <w:t>Facility staff and contacts:</w:t>
      </w:r>
      <w:r>
        <w:rPr>
          <w:b/>
        </w:rPr>
        <w:tab/>
      </w:r>
      <w:r>
        <w:rPr>
          <w:b/>
        </w:rPr>
        <w:tab/>
      </w:r>
      <w:r w:rsidR="008E43B1">
        <w:rPr>
          <w:b/>
        </w:rPr>
        <w:tab/>
      </w:r>
      <w:r>
        <w:rPr>
          <w:color w:val="000000"/>
        </w:rPr>
        <w:t>Sara Bersani, Ph.D. (manager)</w:t>
      </w:r>
      <w:r w:rsidR="008E43B1">
        <w:rPr>
          <w:color w:val="000000"/>
        </w:rPr>
        <w:tab/>
      </w:r>
      <w:r w:rsidR="008E43B1">
        <w:rPr>
          <w:color w:val="000000"/>
        </w:rPr>
        <w:tab/>
        <w:t xml:space="preserve">   </w:t>
      </w:r>
      <w:hyperlink r:id="rId8" w:history="1">
        <w:r w:rsidR="008E43B1" w:rsidRPr="006B40A6">
          <w:rPr>
            <w:rStyle w:val="Collegamentoipertestuale"/>
          </w:rPr>
          <w:t>sara.bersani@unipd.it</w:t>
        </w:r>
      </w:hyperlink>
    </w:p>
    <w:p w14:paraId="1EAE5C13" w14:textId="77777777" w:rsidR="00646DE1" w:rsidRDefault="00386284" w:rsidP="008E43B1">
      <w:pPr>
        <w:spacing w:after="0"/>
        <w:ind w:left="3600" w:firstLine="720"/>
        <w:jc w:val="both"/>
        <w:rPr>
          <w:sz w:val="24"/>
          <w:szCs w:val="24"/>
        </w:rPr>
      </w:pPr>
      <w:r>
        <w:t>Phone number:</w:t>
      </w:r>
      <w:r>
        <w:rPr>
          <w:sz w:val="24"/>
          <w:szCs w:val="24"/>
        </w:rPr>
        <w:t xml:space="preserve"> (+39) 049 827 5360 </w:t>
      </w:r>
    </w:p>
    <w:p w14:paraId="220F1574" w14:textId="77777777" w:rsidR="00646DE1" w:rsidRDefault="00386284" w:rsidP="008E43B1">
      <w:pPr>
        <w:spacing w:after="0"/>
        <w:ind w:left="3600" w:firstLine="720"/>
        <w:jc w:val="both"/>
        <w:rPr>
          <w:sz w:val="24"/>
          <w:szCs w:val="24"/>
        </w:rPr>
      </w:pPr>
      <w:r>
        <w:t>from Monday to Friday 9:00 a.m. - 5:00 p.m.</w:t>
      </w:r>
    </w:p>
    <w:p w14:paraId="790CAB9C" w14:textId="357327AA" w:rsidR="00646DE1" w:rsidRDefault="00386284">
      <w:pPr>
        <w:spacing w:after="0" w:line="240" w:lineRule="auto"/>
        <w:rPr>
          <w:color w:val="000000"/>
        </w:rPr>
      </w:pPr>
      <w:r>
        <w:rPr>
          <w:b/>
        </w:rPr>
        <w:t>Scientific board and research supervisors:</w:t>
      </w:r>
      <w:r>
        <w:rPr>
          <w:b/>
        </w:rPr>
        <w:tab/>
      </w:r>
      <w:r>
        <w:rPr>
          <w:color w:val="000000"/>
        </w:rPr>
        <w:t>Prof. Gianfran</w:t>
      </w:r>
      <w:r>
        <w:rPr>
          <w:color w:val="000000"/>
        </w:rPr>
        <w:t xml:space="preserve">co </w:t>
      </w:r>
      <w:proofErr w:type="spellStart"/>
      <w:r>
        <w:rPr>
          <w:color w:val="000000"/>
        </w:rPr>
        <w:t>Pasut</w:t>
      </w:r>
      <w:proofErr w:type="spellEnd"/>
      <w:r>
        <w:rPr>
          <w:color w:val="000000"/>
        </w:rPr>
        <w:tab/>
      </w:r>
      <w:r>
        <w:rPr>
          <w:color w:val="000000"/>
        </w:rPr>
        <w:tab/>
      </w:r>
      <w:r w:rsidR="008E43B1">
        <w:rPr>
          <w:color w:val="000000"/>
        </w:rPr>
        <w:t xml:space="preserve">         </w:t>
      </w:r>
      <w:hyperlink r:id="rId9" w:history="1">
        <w:r w:rsidR="008E43B1" w:rsidRPr="006B40A6">
          <w:rPr>
            <w:rStyle w:val="Collegamentoipertestuale"/>
          </w:rPr>
          <w:t>gianfranco.pasut@unipd.it</w:t>
        </w:r>
      </w:hyperlink>
    </w:p>
    <w:p w14:paraId="76206C2A" w14:textId="256E7C34" w:rsidR="00646DE1" w:rsidRDefault="00646DE1">
      <w:pPr>
        <w:spacing w:after="0" w:line="240" w:lineRule="auto"/>
        <w:rPr>
          <w:color w:val="000000"/>
        </w:rPr>
      </w:pPr>
    </w:p>
    <w:p w14:paraId="1A9F965C" w14:textId="77777777" w:rsidR="008E43B1" w:rsidRDefault="008E43B1">
      <w:pPr>
        <w:spacing w:after="0" w:line="240" w:lineRule="auto"/>
        <w:rPr>
          <w:color w:val="000000"/>
        </w:rPr>
      </w:pPr>
    </w:p>
    <w:p w14:paraId="118A8A95" w14:textId="77777777" w:rsidR="00646DE1" w:rsidRDefault="00386284">
      <w:pPr>
        <w:spacing w:after="0" w:line="240" w:lineRule="auto"/>
        <w:rPr>
          <w:b/>
        </w:rPr>
      </w:pPr>
      <w:r>
        <w:rPr>
          <w:b/>
        </w:rPr>
        <w:t>Training courses</w:t>
      </w:r>
    </w:p>
    <w:p w14:paraId="0AF33586" w14:textId="77777777" w:rsidR="00646DE1" w:rsidRDefault="00386284">
      <w:pPr>
        <w:spacing w:after="0"/>
        <w:jc w:val="both"/>
      </w:pPr>
      <w:r>
        <w:t xml:space="preserve">Specific training courses for researchers will </w:t>
      </w:r>
      <w:r>
        <w:t>be held by the staff, to make them independent in sample preparations and data acquisition processes.</w:t>
      </w:r>
    </w:p>
    <w:p w14:paraId="03D86B31" w14:textId="7757F520" w:rsidR="00646DE1" w:rsidRDefault="00646DE1">
      <w:pPr>
        <w:spacing w:after="0"/>
        <w:jc w:val="both"/>
      </w:pPr>
    </w:p>
    <w:p w14:paraId="0463C530" w14:textId="77777777" w:rsidR="008E43B1" w:rsidRDefault="008E43B1">
      <w:pPr>
        <w:spacing w:after="0"/>
        <w:jc w:val="both"/>
      </w:pPr>
    </w:p>
    <w:p w14:paraId="2094F3DF" w14:textId="77777777" w:rsidR="00646DE1" w:rsidRDefault="00386284">
      <w:pPr>
        <w:spacing w:after="0" w:line="240" w:lineRule="auto"/>
        <w:rPr>
          <w:b/>
        </w:rPr>
      </w:pPr>
      <w:r>
        <w:rPr>
          <w:b/>
        </w:rPr>
        <w:t>How to book</w:t>
      </w:r>
    </w:p>
    <w:p w14:paraId="0D5C66EA" w14:textId="481659B3" w:rsidR="00646DE1" w:rsidRDefault="00386284">
      <w:pPr>
        <w:spacing w:after="0"/>
        <w:jc w:val="both"/>
      </w:pPr>
      <w:r>
        <w:t>All the researchers can book using the online system and log in with accredited credentials that will be generated after the training course</w:t>
      </w:r>
      <w:r>
        <w:t xml:space="preserve"> (</w:t>
      </w:r>
      <w:hyperlink r:id="rId10">
        <w:r>
          <w:rPr>
            <w:color w:val="0000FF"/>
            <w:u w:val="single"/>
          </w:rPr>
          <w:t>http://147.162.61.199/</w:t>
        </w:r>
      </w:hyperlink>
      <w:r>
        <w:t>).</w:t>
      </w:r>
    </w:p>
    <w:p w14:paraId="7D79258F" w14:textId="02907FF5" w:rsidR="008E43B1" w:rsidRDefault="008E43B1">
      <w:pPr>
        <w:spacing w:after="0"/>
        <w:jc w:val="both"/>
      </w:pPr>
    </w:p>
    <w:p w14:paraId="7C899259" w14:textId="77777777" w:rsidR="008E43B1" w:rsidRDefault="008E43B1">
      <w:pPr>
        <w:spacing w:after="0"/>
        <w:jc w:val="both"/>
      </w:pPr>
    </w:p>
    <w:p w14:paraId="61FDF6D5" w14:textId="77777777" w:rsidR="008E43B1" w:rsidRDefault="008E43B1" w:rsidP="008E43B1">
      <w:pPr>
        <w:spacing w:after="0" w:line="240" w:lineRule="auto"/>
        <w:ind w:left="2127" w:hanging="2127"/>
      </w:pPr>
      <w:r>
        <w:rPr>
          <w:b/>
        </w:rPr>
        <w:lastRenderedPageBreak/>
        <w:t>Location</w:t>
      </w:r>
      <w:r>
        <w:rPr>
          <w:color w:val="000000"/>
        </w:rPr>
        <w:tab/>
      </w:r>
      <w:r>
        <w:t>Pharmaceutical and Pharmacological Sciences Department</w:t>
      </w:r>
    </w:p>
    <w:p w14:paraId="66F321CB" w14:textId="77777777" w:rsidR="008E43B1" w:rsidRDefault="008E43B1" w:rsidP="008E43B1">
      <w:pPr>
        <w:spacing w:after="0" w:line="240" w:lineRule="auto"/>
        <w:ind w:left="2127"/>
      </w:pPr>
      <w:r>
        <w:t xml:space="preserve">Via </w:t>
      </w:r>
      <w:proofErr w:type="spellStart"/>
      <w:r>
        <w:t>Marzolo</w:t>
      </w:r>
      <w:proofErr w:type="spellEnd"/>
      <w:r>
        <w:t>, 5 - 35131 Padova - Italy</w:t>
      </w:r>
    </w:p>
    <w:p w14:paraId="18644F7A" w14:textId="77777777" w:rsidR="008E43B1" w:rsidRDefault="008E43B1" w:rsidP="008E43B1">
      <w:pPr>
        <w:spacing w:after="0" w:line="240" w:lineRule="auto"/>
        <w:ind w:left="2127"/>
      </w:pPr>
      <w:r>
        <w:t>All the instruments of this Facility are placed in the B Building Block, as reported below in the map [</w:t>
      </w:r>
      <w:proofErr w:type="spellStart"/>
      <w:r>
        <w:t>Geotec</w:t>
      </w:r>
      <w:proofErr w:type="spellEnd"/>
      <w:r>
        <w:t>: 00240 00 0018-019-020].</w:t>
      </w:r>
    </w:p>
    <w:p w14:paraId="5B49AFEB" w14:textId="77777777" w:rsidR="008E43B1" w:rsidRDefault="008E43B1" w:rsidP="008E43B1">
      <w:pPr>
        <w:spacing w:after="0" w:line="240" w:lineRule="auto"/>
        <w:ind w:left="1440" w:firstLine="720"/>
        <w:rPr>
          <w:sz w:val="24"/>
          <w:szCs w:val="24"/>
        </w:rPr>
      </w:pPr>
    </w:p>
    <w:p w14:paraId="34EEB7D8" w14:textId="77777777" w:rsidR="008E43B1" w:rsidRDefault="008E43B1" w:rsidP="008E43B1">
      <w:pPr>
        <w:spacing w:after="0"/>
        <w:jc w:val="center"/>
      </w:pPr>
      <w:r>
        <w:rPr>
          <w:noProof/>
        </w:rPr>
        <w:drawing>
          <wp:inline distT="0" distB="0" distL="0" distR="0" wp14:anchorId="0FBCB5C8" wp14:editId="55968376">
            <wp:extent cx="3789213" cy="2195130"/>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789213" cy="2195130"/>
                    </a:xfrm>
                    <a:prstGeom prst="rect">
                      <a:avLst/>
                    </a:prstGeom>
                    <a:ln/>
                  </pic:spPr>
                </pic:pic>
              </a:graphicData>
            </a:graphic>
          </wp:inline>
        </w:drawing>
      </w:r>
    </w:p>
    <w:p w14:paraId="2CE4DBA0" w14:textId="77777777" w:rsidR="00646DE1" w:rsidRDefault="00646DE1">
      <w:pPr>
        <w:spacing w:after="0"/>
        <w:jc w:val="both"/>
      </w:pPr>
    </w:p>
    <w:p w14:paraId="62CA60F0" w14:textId="77777777" w:rsidR="00646DE1" w:rsidRDefault="00386284">
      <w:pPr>
        <w:jc w:val="both"/>
        <w:rPr>
          <w:rFonts w:ascii="Arial" w:eastAsia="Arial" w:hAnsi="Arial" w:cs="Arial"/>
          <w:sz w:val="24"/>
          <w:szCs w:val="24"/>
          <w:u w:val="single"/>
        </w:rPr>
      </w:pPr>
      <w:r>
        <w:pict w14:anchorId="3BF6DB99">
          <v:rect id="_x0000_i1026" style="width:0;height:1.5pt" o:hralign="center" o:hrstd="t" o:hr="t" fillcolor="#a0a0a0" stroked="f"/>
        </w:pict>
      </w:r>
    </w:p>
    <w:p w14:paraId="08F5D2E6" w14:textId="77777777" w:rsidR="00646DE1" w:rsidRDefault="00646DE1">
      <w:pPr>
        <w:jc w:val="both"/>
        <w:rPr>
          <w:rFonts w:ascii="Arial" w:eastAsia="Arial" w:hAnsi="Arial" w:cs="Arial"/>
          <w:sz w:val="24"/>
          <w:szCs w:val="24"/>
        </w:rPr>
        <w:sectPr w:rsidR="00646DE1">
          <w:pgSz w:w="11906" w:h="16838"/>
          <w:pgMar w:top="851" w:right="849" w:bottom="1134" w:left="993" w:header="708" w:footer="708" w:gutter="0"/>
          <w:pgNumType w:start="1"/>
          <w:cols w:space="720"/>
        </w:sectPr>
      </w:pPr>
    </w:p>
    <w:p w14:paraId="59A870C2" w14:textId="77777777" w:rsidR="00646DE1" w:rsidRDefault="00386284">
      <w:pPr>
        <w:jc w:val="both"/>
        <w:rPr>
          <w:b/>
          <w:sz w:val="24"/>
          <w:szCs w:val="24"/>
          <w:u w:val="single"/>
        </w:rPr>
      </w:pPr>
      <w:r>
        <w:rPr>
          <w:b/>
          <w:sz w:val="24"/>
          <w:szCs w:val="24"/>
          <w:u w:val="single"/>
        </w:rPr>
        <w:lastRenderedPageBreak/>
        <w:t>Equipment</w:t>
      </w:r>
    </w:p>
    <w:p w14:paraId="2DFAACF3" w14:textId="77777777" w:rsidR="00646DE1" w:rsidRDefault="00646DE1">
      <w:pPr>
        <w:jc w:val="both"/>
        <w:rPr>
          <w:b/>
          <w:sz w:val="24"/>
          <w:szCs w:val="24"/>
          <w:u w:val="single"/>
        </w:rPr>
        <w:sectPr w:rsidR="00646DE1">
          <w:pgSz w:w="11906" w:h="16838"/>
          <w:pgMar w:top="851" w:right="849" w:bottom="1134" w:left="993" w:header="708" w:footer="708" w:gutter="0"/>
          <w:pgNumType w:start="1"/>
          <w:cols w:space="720"/>
        </w:sectPr>
      </w:pPr>
    </w:p>
    <w:p w14:paraId="13531522" w14:textId="77777777" w:rsidR="008E43B1" w:rsidRPr="008E43B1" w:rsidRDefault="008E43B1" w:rsidP="008E43B1"/>
    <w:p w14:paraId="04C9C464" w14:textId="35B59CF4" w:rsidR="00646DE1" w:rsidRDefault="00386284">
      <w:pPr>
        <w:jc w:val="both"/>
      </w:pPr>
      <w:r>
        <w:rPr>
          <w:b/>
          <w:u w:val="single"/>
        </w:rPr>
        <w:t>Jasco J810</w:t>
      </w:r>
      <w:r>
        <w:t>: Circular dichroism (CD) spectroscopy has a wide range of applications in many different fields. Most notably, UV CD is a very useful technique to study the secondary structure of a large variety of biological chiral molecules and how their conformation c</w:t>
      </w:r>
      <w:r>
        <w:t>hanges using different environment, temperature or pH conditions or interacting with other molecules.</w:t>
      </w:r>
    </w:p>
    <w:p w14:paraId="4B7FE933" w14:textId="0A7033D7" w:rsidR="00646DE1" w:rsidRDefault="00386284">
      <w:pPr>
        <w:jc w:val="center"/>
      </w:pPr>
      <w:r>
        <w:rPr>
          <w:noProof/>
        </w:rPr>
        <w:drawing>
          <wp:inline distT="0" distB="0" distL="0" distR="0" wp14:anchorId="08533FF2" wp14:editId="7CC8E5B3">
            <wp:extent cx="2617428" cy="1853264"/>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617428" cy="1853264"/>
                    </a:xfrm>
                    <a:prstGeom prst="rect">
                      <a:avLst/>
                    </a:prstGeom>
                    <a:ln/>
                  </pic:spPr>
                </pic:pic>
              </a:graphicData>
            </a:graphic>
          </wp:inline>
        </w:drawing>
      </w:r>
    </w:p>
    <w:p w14:paraId="0D81834B" w14:textId="43BA891F" w:rsidR="008E43B1" w:rsidRDefault="008E43B1" w:rsidP="008E43B1"/>
    <w:p w14:paraId="662B3437" w14:textId="77777777" w:rsidR="008E43B1" w:rsidRDefault="008E43B1" w:rsidP="008E43B1"/>
    <w:p w14:paraId="08ED47BF" w14:textId="620E9365" w:rsidR="00646DE1" w:rsidRDefault="00386284">
      <w:r>
        <w:br w:type="column"/>
      </w:r>
    </w:p>
    <w:p w14:paraId="64398386" w14:textId="77777777" w:rsidR="008E43B1" w:rsidRDefault="008E43B1"/>
    <w:p w14:paraId="11E62D3A" w14:textId="77777777" w:rsidR="00646DE1" w:rsidRDefault="00386284">
      <w:r>
        <w:rPr>
          <w:noProof/>
        </w:rPr>
        <w:drawing>
          <wp:inline distT="0" distB="0" distL="0" distR="0" wp14:anchorId="42210C79" wp14:editId="08E84EF5">
            <wp:extent cx="2966720" cy="2225040"/>
            <wp:effectExtent l="0" t="0" r="0" b="0"/>
            <wp:docPr id="3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966720" cy="2225040"/>
                    </a:xfrm>
                    <a:prstGeom prst="rect">
                      <a:avLst/>
                    </a:prstGeom>
                    <a:ln/>
                  </pic:spPr>
                </pic:pic>
              </a:graphicData>
            </a:graphic>
          </wp:inline>
        </w:drawing>
      </w:r>
    </w:p>
    <w:p w14:paraId="1443B27D" w14:textId="0D7792DC" w:rsidR="00646DE1" w:rsidRDefault="00646DE1">
      <w:pPr>
        <w:jc w:val="both"/>
        <w:rPr>
          <w:u w:val="single"/>
        </w:rPr>
      </w:pPr>
      <w:bookmarkStart w:id="2" w:name="_heading=h.3znysh7" w:colFirst="0" w:colLast="0"/>
      <w:bookmarkEnd w:id="2"/>
    </w:p>
    <w:p w14:paraId="3F49B9F8" w14:textId="3C9692F6" w:rsidR="008E43B1" w:rsidRDefault="008E43B1">
      <w:pPr>
        <w:jc w:val="both"/>
        <w:rPr>
          <w:u w:val="single"/>
        </w:rPr>
      </w:pPr>
    </w:p>
    <w:p w14:paraId="7790C27A" w14:textId="4075751F" w:rsidR="008E43B1" w:rsidRDefault="008E43B1">
      <w:pPr>
        <w:jc w:val="both"/>
        <w:rPr>
          <w:u w:val="single"/>
        </w:rPr>
      </w:pPr>
    </w:p>
    <w:p w14:paraId="751B03B2" w14:textId="77777777" w:rsidR="008E43B1" w:rsidRDefault="008E43B1">
      <w:pPr>
        <w:jc w:val="both"/>
        <w:rPr>
          <w:u w:val="single"/>
        </w:rPr>
      </w:pPr>
    </w:p>
    <w:p w14:paraId="175868B5" w14:textId="77777777" w:rsidR="008E43B1" w:rsidRDefault="008E43B1">
      <w:pPr>
        <w:jc w:val="both"/>
        <w:rPr>
          <w:u w:val="single"/>
        </w:rPr>
      </w:pPr>
    </w:p>
    <w:p w14:paraId="042311C6" w14:textId="77777777" w:rsidR="00646DE1" w:rsidRDefault="00646DE1">
      <w:pPr>
        <w:jc w:val="both"/>
        <w:rPr>
          <w:u w:val="single"/>
        </w:rPr>
      </w:pPr>
    </w:p>
    <w:p w14:paraId="506D7A6C" w14:textId="77777777" w:rsidR="00646DE1" w:rsidRDefault="00646DE1">
      <w:pPr>
        <w:jc w:val="both"/>
        <w:rPr>
          <w:b/>
          <w:u w:val="single"/>
        </w:rPr>
        <w:sectPr w:rsidR="00646DE1">
          <w:type w:val="continuous"/>
          <w:pgSz w:w="11906" w:h="16838"/>
          <w:pgMar w:top="851" w:right="849" w:bottom="1134" w:left="993" w:header="708" w:footer="708" w:gutter="0"/>
          <w:pgNumType w:start="1"/>
          <w:cols w:num="2" w:space="720" w:equalWidth="0">
            <w:col w:w="4672" w:space="720"/>
            <w:col w:w="4672" w:space="0"/>
          </w:cols>
        </w:sectPr>
      </w:pPr>
    </w:p>
    <w:p w14:paraId="12FE627F" w14:textId="77777777" w:rsidR="00646DE1" w:rsidRDefault="00386284">
      <w:pPr>
        <w:jc w:val="both"/>
      </w:pPr>
      <w:r>
        <w:rPr>
          <w:b/>
          <w:u w:val="single"/>
        </w:rPr>
        <w:t>Jasco FP6500</w:t>
      </w:r>
      <w:r>
        <w:t>: This instrument can be used to measure the intrinsic fluorescence of a large variety of com</w:t>
      </w:r>
      <w:r>
        <w:t>pound in solution, namely small drug molecules or peptides and protein or RNA/DNA. The range of the spectrum goes from 190 nm to 900 nm. The presence of a Peltier system allows to thermostat all the measurements or to create ad hoc temperature ramps for th</w:t>
      </w:r>
      <w:r>
        <w:t>e analyses.</w:t>
      </w:r>
    </w:p>
    <w:p w14:paraId="44154CC5" w14:textId="755E80AE" w:rsidR="00646DE1" w:rsidRDefault="00386284">
      <w:pPr>
        <w:jc w:val="center"/>
      </w:pPr>
      <w:r>
        <w:rPr>
          <w:noProof/>
        </w:rPr>
        <w:drawing>
          <wp:inline distT="0" distB="0" distL="0" distR="0" wp14:anchorId="5329CE0A" wp14:editId="05D248F4">
            <wp:extent cx="2717870" cy="1848925"/>
            <wp:effectExtent l="0" t="0" r="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717870" cy="1848925"/>
                    </a:xfrm>
                    <a:prstGeom prst="rect">
                      <a:avLst/>
                    </a:prstGeom>
                    <a:ln/>
                  </pic:spPr>
                </pic:pic>
              </a:graphicData>
            </a:graphic>
          </wp:inline>
        </w:drawing>
      </w:r>
    </w:p>
    <w:p w14:paraId="457B906B" w14:textId="227F0689" w:rsidR="008E43B1" w:rsidRDefault="008E43B1" w:rsidP="008E43B1"/>
    <w:p w14:paraId="7E2A8677" w14:textId="77777777" w:rsidR="008E43B1" w:rsidRDefault="008E43B1" w:rsidP="008E43B1"/>
    <w:p w14:paraId="002F08F9" w14:textId="77777777" w:rsidR="00646DE1" w:rsidRDefault="00386284">
      <w:r>
        <w:br w:type="column"/>
      </w:r>
    </w:p>
    <w:p w14:paraId="2777DF0C" w14:textId="77777777" w:rsidR="00646DE1" w:rsidRDefault="00646DE1"/>
    <w:p w14:paraId="3CB497BE" w14:textId="77777777" w:rsidR="00646DE1" w:rsidRDefault="00386284">
      <w:r>
        <w:rPr>
          <w:noProof/>
        </w:rPr>
        <w:drawing>
          <wp:inline distT="0" distB="0" distL="0" distR="0" wp14:anchorId="6F455AA8" wp14:editId="52B3CAB4">
            <wp:extent cx="2952750" cy="2219325"/>
            <wp:effectExtent l="0" t="0" r="0" b="0"/>
            <wp:docPr id="3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2952750" cy="2219325"/>
                    </a:xfrm>
                    <a:prstGeom prst="rect">
                      <a:avLst/>
                    </a:prstGeom>
                    <a:ln/>
                  </pic:spPr>
                </pic:pic>
              </a:graphicData>
            </a:graphic>
          </wp:inline>
        </w:drawing>
      </w:r>
    </w:p>
    <w:p w14:paraId="772E27B7" w14:textId="77777777" w:rsidR="00646DE1" w:rsidRDefault="00646DE1"/>
    <w:p w14:paraId="40B69390" w14:textId="3060206E" w:rsidR="00646DE1" w:rsidRDefault="00646DE1">
      <w:pPr>
        <w:jc w:val="both"/>
      </w:pPr>
    </w:p>
    <w:p w14:paraId="72C8E157" w14:textId="1F79CE74" w:rsidR="008E43B1" w:rsidRDefault="008E43B1">
      <w:pPr>
        <w:jc w:val="both"/>
      </w:pPr>
    </w:p>
    <w:p w14:paraId="1EF1F7C2" w14:textId="77777777" w:rsidR="008E43B1" w:rsidRDefault="008E43B1">
      <w:pPr>
        <w:jc w:val="both"/>
      </w:pPr>
    </w:p>
    <w:p w14:paraId="589E184A" w14:textId="77777777" w:rsidR="00646DE1" w:rsidRDefault="00646DE1">
      <w:pPr>
        <w:jc w:val="both"/>
      </w:pPr>
    </w:p>
    <w:p w14:paraId="4416AEDE" w14:textId="77777777" w:rsidR="00646DE1" w:rsidRDefault="00646DE1">
      <w:pPr>
        <w:jc w:val="both"/>
        <w:sectPr w:rsidR="00646DE1">
          <w:type w:val="continuous"/>
          <w:pgSz w:w="11906" w:h="16838"/>
          <w:pgMar w:top="851" w:right="849" w:bottom="1134" w:left="993" w:header="708" w:footer="708" w:gutter="0"/>
          <w:pgNumType w:start="1"/>
          <w:cols w:num="2" w:space="720" w:equalWidth="0">
            <w:col w:w="4672" w:space="720"/>
            <w:col w:w="4672" w:space="0"/>
          </w:cols>
        </w:sectPr>
      </w:pPr>
    </w:p>
    <w:p w14:paraId="353F4846" w14:textId="77777777" w:rsidR="00646DE1" w:rsidRDefault="00386284">
      <w:pPr>
        <w:jc w:val="both"/>
      </w:pPr>
      <w:r>
        <w:rPr>
          <w:b/>
          <w:u w:val="single"/>
        </w:rPr>
        <w:lastRenderedPageBreak/>
        <w:t>GE/</w:t>
      </w:r>
      <w:proofErr w:type="spellStart"/>
      <w:r>
        <w:rPr>
          <w:b/>
          <w:u w:val="single"/>
        </w:rPr>
        <w:t>Cytiva</w:t>
      </w:r>
      <w:proofErr w:type="spellEnd"/>
      <w:r>
        <w:rPr>
          <w:b/>
          <w:u w:val="single"/>
        </w:rPr>
        <w:t xml:space="preserve"> </w:t>
      </w:r>
      <w:proofErr w:type="spellStart"/>
      <w:r>
        <w:rPr>
          <w:b/>
          <w:u w:val="single"/>
        </w:rPr>
        <w:t>Biacore</w:t>
      </w:r>
      <w:proofErr w:type="spellEnd"/>
      <w:r>
        <w:rPr>
          <w:b/>
          <w:u w:val="single"/>
        </w:rPr>
        <w:t xml:space="preserve"> X100</w:t>
      </w:r>
      <w:r>
        <w:t xml:space="preserve">: The </w:t>
      </w:r>
      <w:proofErr w:type="spellStart"/>
      <w:r>
        <w:t>Biacore</w:t>
      </w:r>
      <w:proofErr w:type="spellEnd"/>
      <w:r>
        <w:t xml:space="preserve"> X100 is a versatile and flexible instrument which allows to study the interactions between any type of molecule (in principle), from organic compounds to prote</w:t>
      </w:r>
      <w:r>
        <w:t>ins, nucleic acids, glycoproteins and even viruses and whole cells, in any type of mixture. Surface plasmons change their resonance wavelength according to the type of interaction between the molecules flowing on a suitably functionalized gold surface. The</w:t>
      </w:r>
      <w:r>
        <w:t xml:space="preserve"> obtained </w:t>
      </w:r>
      <w:proofErr w:type="spellStart"/>
      <w:r>
        <w:t>sensorgram</w:t>
      </w:r>
      <w:proofErr w:type="spellEnd"/>
      <w:r>
        <w:t xml:space="preserve"> provides quantitative data on the binding processes, kinetic constants, specificity/affinity characteristics.</w:t>
      </w:r>
    </w:p>
    <w:p w14:paraId="57C48629" w14:textId="2869B0E9" w:rsidR="00646DE1" w:rsidRDefault="00386284">
      <w:pPr>
        <w:jc w:val="center"/>
      </w:pPr>
      <w:r>
        <w:rPr>
          <w:noProof/>
        </w:rPr>
        <w:drawing>
          <wp:inline distT="0" distB="0" distL="0" distR="0" wp14:anchorId="567435FA" wp14:editId="4347A8D0">
            <wp:extent cx="2966720" cy="1109345"/>
            <wp:effectExtent l="0" t="0" r="0" b="0"/>
            <wp:docPr id="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2966720" cy="1109345"/>
                    </a:xfrm>
                    <a:prstGeom prst="rect">
                      <a:avLst/>
                    </a:prstGeom>
                    <a:ln/>
                  </pic:spPr>
                </pic:pic>
              </a:graphicData>
            </a:graphic>
          </wp:inline>
        </w:drawing>
      </w:r>
    </w:p>
    <w:p w14:paraId="335F0F92" w14:textId="60E510BB" w:rsidR="008E43B1" w:rsidRDefault="008E43B1" w:rsidP="008E43B1"/>
    <w:p w14:paraId="4EBFB4B8" w14:textId="77777777" w:rsidR="008E43B1" w:rsidRDefault="008E43B1" w:rsidP="008E43B1"/>
    <w:p w14:paraId="295BBFD8" w14:textId="77777777" w:rsidR="00646DE1" w:rsidRDefault="00386284">
      <w:r>
        <w:br w:type="column"/>
      </w:r>
    </w:p>
    <w:p w14:paraId="3FDB78FE" w14:textId="77777777" w:rsidR="00646DE1" w:rsidRDefault="00646DE1"/>
    <w:p w14:paraId="61BD729A" w14:textId="77777777" w:rsidR="00646DE1" w:rsidRDefault="00386284">
      <w:pPr>
        <w:jc w:val="center"/>
      </w:pPr>
      <w:r>
        <w:rPr>
          <w:noProof/>
        </w:rPr>
        <w:drawing>
          <wp:inline distT="0" distB="0" distL="0" distR="0" wp14:anchorId="2F240A1B" wp14:editId="14A47FC8">
            <wp:extent cx="2952750" cy="2219325"/>
            <wp:effectExtent l="0" t="0" r="0" b="0"/>
            <wp:docPr id="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7"/>
                    <a:srcRect/>
                    <a:stretch>
                      <a:fillRect/>
                    </a:stretch>
                  </pic:blipFill>
                  <pic:spPr>
                    <a:xfrm>
                      <a:off x="0" y="0"/>
                      <a:ext cx="2952750" cy="2219325"/>
                    </a:xfrm>
                    <a:prstGeom prst="rect">
                      <a:avLst/>
                    </a:prstGeom>
                    <a:ln/>
                  </pic:spPr>
                </pic:pic>
              </a:graphicData>
            </a:graphic>
          </wp:inline>
        </w:drawing>
      </w:r>
    </w:p>
    <w:p w14:paraId="3BE25EFA" w14:textId="77777777" w:rsidR="00646DE1" w:rsidRDefault="00646DE1"/>
    <w:p w14:paraId="76627F46" w14:textId="77777777" w:rsidR="00646DE1" w:rsidRDefault="00646DE1"/>
    <w:p w14:paraId="3BB99432" w14:textId="77777777" w:rsidR="00646DE1" w:rsidRDefault="00646DE1"/>
    <w:p w14:paraId="59770E11" w14:textId="77777777" w:rsidR="00646DE1" w:rsidRDefault="00646DE1"/>
    <w:p w14:paraId="47637C17" w14:textId="77777777" w:rsidR="00646DE1" w:rsidRDefault="00646DE1"/>
    <w:p w14:paraId="4E9C56FF" w14:textId="77777777" w:rsidR="00646DE1" w:rsidRDefault="00646DE1">
      <w:pPr>
        <w:jc w:val="both"/>
        <w:sectPr w:rsidR="00646DE1">
          <w:type w:val="continuous"/>
          <w:pgSz w:w="11906" w:h="16838"/>
          <w:pgMar w:top="851" w:right="849" w:bottom="1134" w:left="993" w:header="708" w:footer="708" w:gutter="0"/>
          <w:pgNumType w:start="1"/>
          <w:cols w:num="2" w:space="720" w:equalWidth="0">
            <w:col w:w="4672" w:space="720"/>
            <w:col w:w="4672" w:space="0"/>
          </w:cols>
        </w:sectPr>
      </w:pPr>
    </w:p>
    <w:p w14:paraId="5EC249E7" w14:textId="17017301" w:rsidR="00646DE1" w:rsidRDefault="00386284">
      <w:pPr>
        <w:jc w:val="both"/>
      </w:pPr>
      <w:r>
        <w:rPr>
          <w:b/>
          <w:u w:val="single"/>
        </w:rPr>
        <w:t xml:space="preserve">Precision </w:t>
      </w:r>
      <w:proofErr w:type="spellStart"/>
      <w:r>
        <w:rPr>
          <w:b/>
          <w:u w:val="single"/>
        </w:rPr>
        <w:t>Nanosystem</w:t>
      </w:r>
      <w:proofErr w:type="spellEnd"/>
      <w:r>
        <w:rPr>
          <w:b/>
          <w:u w:val="single"/>
        </w:rPr>
        <w:t xml:space="preserve"> </w:t>
      </w:r>
      <w:proofErr w:type="spellStart"/>
      <w:r>
        <w:rPr>
          <w:b/>
          <w:u w:val="single"/>
        </w:rPr>
        <w:t>NanoAssemblr</w:t>
      </w:r>
      <w:r>
        <w:rPr>
          <w:u w:val="single"/>
        </w:rPr>
        <w:t>®</w:t>
      </w:r>
      <w:r>
        <w:rPr>
          <w:b/>
          <w:u w:val="single"/>
        </w:rPr>
        <w:t>BT</w:t>
      </w:r>
      <w:proofErr w:type="spellEnd"/>
      <w:r>
        <w:t xml:space="preserve">: The </w:t>
      </w:r>
      <w:proofErr w:type="spellStart"/>
      <w:r>
        <w:t>NanoAssemblr®BT</w:t>
      </w:r>
      <w:proofErr w:type="spellEnd"/>
      <w:r>
        <w:t xml:space="preserve"> is an innovative system that, through a continuous and controlled flow pumping system, exploits the microfluidics contained in a cartridge for the rapid production of soluble nanosystems and monodisperse colloids. A very intuitive and</w:t>
      </w:r>
      <w:r>
        <w:t xml:space="preserve"> easy-to-use software allows, through the control of a few parameters, such as Total Flow Rate (TFR) and Flow Rate Ratio (FRR), to adjust the flow of solutions to obtain particles with precise dimensions and with an encapsulation efficiency that can be rep</w:t>
      </w:r>
      <w:r>
        <w:t>roduced over time. Volumes from 1 to 15 mL can be processed.</w:t>
      </w:r>
    </w:p>
    <w:p w14:paraId="2DA5B8D1" w14:textId="77777777" w:rsidR="008E43B1" w:rsidRDefault="008E43B1">
      <w:pPr>
        <w:jc w:val="both"/>
      </w:pPr>
    </w:p>
    <w:p w14:paraId="5E9A17E1" w14:textId="52E19000" w:rsidR="00646DE1" w:rsidRDefault="008E43B1">
      <w:pPr>
        <w:jc w:val="both"/>
      </w:pPr>
      <w:r>
        <w:rPr>
          <w:noProof/>
        </w:rPr>
        <w:drawing>
          <wp:inline distT="0" distB="0" distL="0" distR="0" wp14:anchorId="325E3BAC" wp14:editId="7B76C8C7">
            <wp:extent cx="2966720" cy="1215262"/>
            <wp:effectExtent l="0" t="0" r="5080" b="4445"/>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966720" cy="1215262"/>
                    </a:xfrm>
                    <a:prstGeom prst="rect">
                      <a:avLst/>
                    </a:prstGeom>
                    <a:ln/>
                  </pic:spPr>
                </pic:pic>
              </a:graphicData>
            </a:graphic>
          </wp:inline>
        </w:drawing>
      </w:r>
    </w:p>
    <w:p w14:paraId="58930155" w14:textId="64AA98AF" w:rsidR="00646DE1" w:rsidRDefault="00646DE1" w:rsidP="008E43B1"/>
    <w:p w14:paraId="7FB0554D" w14:textId="77777777" w:rsidR="008E43B1" w:rsidRDefault="008E43B1" w:rsidP="008E43B1"/>
    <w:p w14:paraId="1AA6F79E" w14:textId="2B84C811" w:rsidR="00646DE1" w:rsidRDefault="00386284">
      <w:r>
        <w:br w:type="column"/>
      </w:r>
    </w:p>
    <w:p w14:paraId="1FFC0A1F" w14:textId="77777777" w:rsidR="008E43B1" w:rsidRDefault="008E43B1"/>
    <w:p w14:paraId="127624CB" w14:textId="77777777" w:rsidR="00646DE1" w:rsidRDefault="00386284">
      <w:pPr>
        <w:jc w:val="center"/>
      </w:pPr>
      <w:r>
        <w:rPr>
          <w:noProof/>
        </w:rPr>
        <w:drawing>
          <wp:inline distT="0" distB="0" distL="0" distR="0" wp14:anchorId="02E2AC8E" wp14:editId="4D02817A">
            <wp:extent cx="1523983" cy="1145444"/>
            <wp:effectExtent l="0" t="0" r="0" b="0"/>
            <wp:docPr id="4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9"/>
                    <a:srcRect/>
                    <a:stretch>
                      <a:fillRect/>
                    </a:stretch>
                  </pic:blipFill>
                  <pic:spPr>
                    <a:xfrm>
                      <a:off x="0" y="0"/>
                      <a:ext cx="1523983" cy="1145444"/>
                    </a:xfrm>
                    <a:prstGeom prst="rect">
                      <a:avLst/>
                    </a:prstGeom>
                    <a:ln/>
                  </pic:spPr>
                </pic:pic>
              </a:graphicData>
            </a:graphic>
          </wp:inline>
        </w:drawing>
      </w:r>
      <w:r>
        <w:rPr>
          <w:noProof/>
        </w:rPr>
        <w:drawing>
          <wp:inline distT="0" distB="0" distL="0" distR="0" wp14:anchorId="742E0082" wp14:editId="23D66E3E">
            <wp:extent cx="1435701" cy="948352"/>
            <wp:effectExtent l="0" t="0" r="0" b="0"/>
            <wp:docPr id="4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1435701" cy="948352"/>
                    </a:xfrm>
                    <a:prstGeom prst="rect">
                      <a:avLst/>
                    </a:prstGeom>
                    <a:ln/>
                  </pic:spPr>
                </pic:pic>
              </a:graphicData>
            </a:graphic>
          </wp:inline>
        </w:drawing>
      </w:r>
    </w:p>
    <w:p w14:paraId="596E42A8" w14:textId="77777777" w:rsidR="00646DE1" w:rsidRDefault="00646DE1"/>
    <w:p w14:paraId="760008BC" w14:textId="77777777" w:rsidR="00646DE1" w:rsidRDefault="00386284">
      <w:pPr>
        <w:jc w:val="center"/>
      </w:pPr>
      <w:r>
        <w:rPr>
          <w:rFonts w:ascii="Arial" w:eastAsia="Arial" w:hAnsi="Arial" w:cs="Arial"/>
          <w:noProof/>
        </w:rPr>
        <w:drawing>
          <wp:inline distT="0" distB="0" distL="0" distR="0" wp14:anchorId="74501377" wp14:editId="3F07BF5B">
            <wp:extent cx="2773292" cy="2079969"/>
            <wp:effectExtent l="0" t="0" r="0" b="0"/>
            <wp:docPr id="4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2773292" cy="2079969"/>
                    </a:xfrm>
                    <a:prstGeom prst="rect">
                      <a:avLst/>
                    </a:prstGeom>
                    <a:ln/>
                  </pic:spPr>
                </pic:pic>
              </a:graphicData>
            </a:graphic>
          </wp:inline>
        </w:drawing>
      </w:r>
    </w:p>
    <w:p w14:paraId="7A5C0F1A" w14:textId="77777777" w:rsidR="00646DE1" w:rsidRDefault="00646DE1"/>
    <w:p w14:paraId="38BC4D8F" w14:textId="77777777" w:rsidR="00646DE1" w:rsidRDefault="00646DE1"/>
    <w:p w14:paraId="2AF83D31" w14:textId="77777777" w:rsidR="00646DE1" w:rsidRDefault="00646DE1">
      <w:pPr>
        <w:jc w:val="both"/>
        <w:sectPr w:rsidR="00646DE1">
          <w:type w:val="continuous"/>
          <w:pgSz w:w="11906" w:h="16838"/>
          <w:pgMar w:top="851" w:right="849" w:bottom="1134" w:left="993" w:header="708" w:footer="708" w:gutter="0"/>
          <w:pgNumType w:start="1"/>
          <w:cols w:num="2" w:space="720" w:equalWidth="0">
            <w:col w:w="4672" w:space="720"/>
            <w:col w:w="4672" w:space="0"/>
          </w:cols>
        </w:sectPr>
      </w:pPr>
    </w:p>
    <w:p w14:paraId="10505D44" w14:textId="77777777" w:rsidR="00646DE1" w:rsidRDefault="00386284">
      <w:pPr>
        <w:jc w:val="both"/>
      </w:pPr>
      <w:r>
        <w:rPr>
          <w:b/>
          <w:u w:val="single"/>
        </w:rPr>
        <w:lastRenderedPageBreak/>
        <w:t>Malvern Nano ZS (location: 00190 -1 057) and Ultra ZS</w:t>
      </w:r>
      <w:r>
        <w:t>: Nano ZS and Ultra ZS are indispensable tools for those who work with soluble nanosystems. These instruments, by exploiting the Dynamic and Electrophoretic Light Scattering (DLS and ELS) phenomena, allow to determine the size, electrophoretic mobility, an</w:t>
      </w:r>
      <w:r>
        <w:t>d surface charge of soluble and/or suspended nanosystems in solution, such as colloidal systems, proteins and nanoparticles. The measure range is between 2 and 1000 nm. They are tools of choice for the publication of dimensional data in the scientific publ</w:t>
      </w:r>
      <w:r>
        <w:t>ications of the Drug Delivery field.</w:t>
      </w:r>
    </w:p>
    <w:p w14:paraId="7616B2B8" w14:textId="77777777" w:rsidR="00646DE1" w:rsidRDefault="00646DE1">
      <w:pPr>
        <w:spacing w:after="0"/>
        <w:jc w:val="both"/>
        <w:rPr>
          <w:highlight w:val="lightGray"/>
        </w:rPr>
      </w:pPr>
    </w:p>
    <w:p w14:paraId="5FD345D0" w14:textId="77777777" w:rsidR="00646DE1" w:rsidRDefault="00386284">
      <w:pPr>
        <w:spacing w:after="0"/>
        <w:jc w:val="center"/>
      </w:pPr>
      <w:r>
        <w:rPr>
          <w:noProof/>
        </w:rPr>
        <w:drawing>
          <wp:inline distT="0" distB="0" distL="0" distR="0" wp14:anchorId="2744DB1B" wp14:editId="17965482">
            <wp:extent cx="3098498" cy="1852335"/>
            <wp:effectExtent l="0" t="0" r="0" b="0"/>
            <wp:docPr id="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3098498" cy="1852335"/>
                    </a:xfrm>
                    <a:prstGeom prst="rect">
                      <a:avLst/>
                    </a:prstGeom>
                    <a:ln/>
                  </pic:spPr>
                </pic:pic>
              </a:graphicData>
            </a:graphic>
          </wp:inline>
        </w:drawing>
      </w:r>
    </w:p>
    <w:p w14:paraId="472A17E6" w14:textId="2AC56FBF" w:rsidR="00646DE1" w:rsidRDefault="00646DE1">
      <w:pPr>
        <w:spacing w:after="0"/>
      </w:pPr>
    </w:p>
    <w:p w14:paraId="735CC721" w14:textId="49502789" w:rsidR="008E43B1" w:rsidRDefault="008E43B1">
      <w:pPr>
        <w:spacing w:after="0"/>
      </w:pPr>
    </w:p>
    <w:p w14:paraId="23099800" w14:textId="4218FAB0" w:rsidR="008E43B1" w:rsidRDefault="008E43B1">
      <w:pPr>
        <w:spacing w:after="0"/>
      </w:pPr>
    </w:p>
    <w:p w14:paraId="5355FEBD" w14:textId="77777777" w:rsidR="008E43B1" w:rsidRDefault="008E43B1">
      <w:pPr>
        <w:spacing w:after="0"/>
      </w:pPr>
    </w:p>
    <w:p w14:paraId="34E3BC81" w14:textId="77777777" w:rsidR="00646DE1" w:rsidRDefault="00386284">
      <w:pPr>
        <w:spacing w:after="0"/>
        <w:jc w:val="center"/>
      </w:pPr>
      <w:r>
        <w:br w:type="column"/>
      </w:r>
      <w:r>
        <w:rPr>
          <w:noProof/>
        </w:rPr>
        <w:drawing>
          <wp:inline distT="0" distB="0" distL="0" distR="0" wp14:anchorId="7D34AD74" wp14:editId="68EF3E1D">
            <wp:extent cx="2849479" cy="2141705"/>
            <wp:effectExtent l="0" t="0" r="0" b="0"/>
            <wp:docPr id="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3"/>
                    <a:srcRect/>
                    <a:stretch>
                      <a:fillRect/>
                    </a:stretch>
                  </pic:blipFill>
                  <pic:spPr>
                    <a:xfrm>
                      <a:off x="0" y="0"/>
                      <a:ext cx="2849479" cy="2141705"/>
                    </a:xfrm>
                    <a:prstGeom prst="rect">
                      <a:avLst/>
                    </a:prstGeom>
                    <a:ln/>
                  </pic:spPr>
                </pic:pic>
              </a:graphicData>
            </a:graphic>
          </wp:inline>
        </w:drawing>
      </w:r>
    </w:p>
    <w:p w14:paraId="1FC3748F" w14:textId="77777777" w:rsidR="00646DE1" w:rsidRDefault="00386284">
      <w:pPr>
        <w:jc w:val="center"/>
      </w:pPr>
      <w:r>
        <w:t>Nano ZS</w:t>
      </w:r>
    </w:p>
    <w:p w14:paraId="285B67AB" w14:textId="77777777" w:rsidR="00646DE1" w:rsidRDefault="00386284">
      <w:pPr>
        <w:spacing w:after="0"/>
        <w:jc w:val="center"/>
      </w:pPr>
      <w:r>
        <w:rPr>
          <w:rFonts w:ascii="Arial" w:eastAsia="Arial" w:hAnsi="Arial" w:cs="Arial"/>
          <w:noProof/>
        </w:rPr>
        <w:drawing>
          <wp:inline distT="0" distB="0" distL="0" distR="0" wp14:anchorId="3D2ECBDB" wp14:editId="474F6AEC">
            <wp:extent cx="2846241" cy="2134681"/>
            <wp:effectExtent l="0" t="0" r="0" b="0"/>
            <wp:docPr id="4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4"/>
                    <a:srcRect/>
                    <a:stretch>
                      <a:fillRect/>
                    </a:stretch>
                  </pic:blipFill>
                  <pic:spPr>
                    <a:xfrm>
                      <a:off x="0" y="0"/>
                      <a:ext cx="2846241" cy="2134681"/>
                    </a:xfrm>
                    <a:prstGeom prst="rect">
                      <a:avLst/>
                    </a:prstGeom>
                    <a:ln/>
                  </pic:spPr>
                </pic:pic>
              </a:graphicData>
            </a:graphic>
          </wp:inline>
        </w:drawing>
      </w:r>
    </w:p>
    <w:p w14:paraId="55A4DD2B" w14:textId="77777777" w:rsidR="00646DE1" w:rsidRDefault="00386284">
      <w:pPr>
        <w:spacing w:after="0"/>
        <w:jc w:val="center"/>
      </w:pPr>
      <w:r>
        <w:t>Ultra ZS</w:t>
      </w:r>
    </w:p>
    <w:p w14:paraId="30C5907D" w14:textId="77777777" w:rsidR="00646DE1" w:rsidRDefault="00646DE1">
      <w:pPr>
        <w:jc w:val="both"/>
      </w:pPr>
    </w:p>
    <w:p w14:paraId="2644EB65" w14:textId="77777777" w:rsidR="00646DE1" w:rsidRDefault="00646DE1">
      <w:pPr>
        <w:jc w:val="both"/>
      </w:pPr>
    </w:p>
    <w:p w14:paraId="3D074F51" w14:textId="77777777" w:rsidR="00646DE1" w:rsidRDefault="00646DE1">
      <w:pPr>
        <w:jc w:val="both"/>
      </w:pPr>
    </w:p>
    <w:p w14:paraId="5C7AB728" w14:textId="77777777" w:rsidR="00646DE1" w:rsidRDefault="00646DE1">
      <w:pPr>
        <w:jc w:val="both"/>
        <w:sectPr w:rsidR="00646DE1">
          <w:type w:val="continuous"/>
          <w:pgSz w:w="11906" w:h="16838"/>
          <w:pgMar w:top="851" w:right="849" w:bottom="1134" w:left="993" w:header="708" w:footer="708" w:gutter="0"/>
          <w:pgNumType w:start="1"/>
          <w:cols w:num="2" w:space="720" w:equalWidth="0">
            <w:col w:w="4672" w:space="720"/>
            <w:col w:w="4672" w:space="0"/>
          </w:cols>
        </w:sectPr>
      </w:pPr>
    </w:p>
    <w:p w14:paraId="6AD1667A" w14:textId="77777777" w:rsidR="00646DE1" w:rsidRDefault="00386284">
      <w:pPr>
        <w:jc w:val="both"/>
      </w:pPr>
      <w:r>
        <w:rPr>
          <w:b/>
          <w:u w:val="single"/>
        </w:rPr>
        <w:t xml:space="preserve">Malvern </w:t>
      </w:r>
      <w:proofErr w:type="spellStart"/>
      <w:r>
        <w:rPr>
          <w:b/>
          <w:u w:val="single"/>
        </w:rPr>
        <w:t>MicroCal</w:t>
      </w:r>
      <w:proofErr w:type="spellEnd"/>
      <w:r>
        <w:rPr>
          <w:b/>
          <w:u w:val="single"/>
        </w:rPr>
        <w:t xml:space="preserve"> VP-ITC</w:t>
      </w:r>
      <w:r>
        <w:t xml:space="preserve">: The </w:t>
      </w:r>
      <w:proofErr w:type="spellStart"/>
      <w:r>
        <w:t>MicroCal</w:t>
      </w:r>
      <w:proofErr w:type="spellEnd"/>
      <w:r>
        <w:t xml:space="preserve"> VP-ITC is a powerful and sensitive, easy to use, isothermal calorimeter that allows you to perform calorimetric titrations in a precise and accurate way. It offers the possibility to study and measure the molecular interactions between pepti</w:t>
      </w:r>
      <w:r>
        <w:t>des, proteins, antibodies, nucleic acids and many other biomolecules, defining the binding/unbinding constants of the experimental model.</w:t>
      </w:r>
    </w:p>
    <w:p w14:paraId="7E553434" w14:textId="251A7978" w:rsidR="00646DE1" w:rsidRDefault="00386284">
      <w:pPr>
        <w:spacing w:after="0"/>
        <w:jc w:val="center"/>
      </w:pPr>
      <w:r>
        <w:rPr>
          <w:noProof/>
        </w:rPr>
        <w:drawing>
          <wp:inline distT="0" distB="0" distL="0" distR="0" wp14:anchorId="4CC5BBD2" wp14:editId="58C34A31">
            <wp:extent cx="2966720" cy="1245235"/>
            <wp:effectExtent l="0" t="0" r="0" b="0"/>
            <wp:docPr id="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2966720" cy="1245235"/>
                    </a:xfrm>
                    <a:prstGeom prst="rect">
                      <a:avLst/>
                    </a:prstGeom>
                    <a:ln/>
                  </pic:spPr>
                </pic:pic>
              </a:graphicData>
            </a:graphic>
          </wp:inline>
        </w:drawing>
      </w:r>
    </w:p>
    <w:p w14:paraId="4B5E9AF5" w14:textId="69C06F00" w:rsidR="008E43B1" w:rsidRDefault="008E43B1" w:rsidP="008E43B1">
      <w:pPr>
        <w:spacing w:after="0"/>
      </w:pPr>
    </w:p>
    <w:p w14:paraId="166F33F6" w14:textId="77777777" w:rsidR="008E43B1" w:rsidRDefault="008E43B1" w:rsidP="008E43B1">
      <w:pPr>
        <w:spacing w:after="0"/>
      </w:pPr>
    </w:p>
    <w:p w14:paraId="25C09FA9" w14:textId="0B9D26B7" w:rsidR="00646DE1" w:rsidRDefault="00386284">
      <w:pPr>
        <w:spacing w:after="0"/>
        <w:jc w:val="center"/>
      </w:pPr>
      <w:r>
        <w:br w:type="column"/>
      </w:r>
    </w:p>
    <w:p w14:paraId="69B9D81B" w14:textId="75588CA3" w:rsidR="00646DE1" w:rsidRDefault="00646DE1">
      <w:pPr>
        <w:jc w:val="both"/>
      </w:pPr>
    </w:p>
    <w:p w14:paraId="61183BC7" w14:textId="77777777" w:rsidR="008E43B1" w:rsidRDefault="008E43B1">
      <w:pPr>
        <w:jc w:val="both"/>
      </w:pPr>
    </w:p>
    <w:p w14:paraId="1AC3C84C" w14:textId="151CD254" w:rsidR="008E43B1" w:rsidRDefault="008E43B1">
      <w:pPr>
        <w:jc w:val="both"/>
      </w:pPr>
      <w:r>
        <w:rPr>
          <w:rFonts w:ascii="Arial" w:eastAsia="Arial" w:hAnsi="Arial" w:cs="Arial"/>
          <w:noProof/>
        </w:rPr>
        <w:drawing>
          <wp:inline distT="0" distB="0" distL="0" distR="0" wp14:anchorId="0DBDA11B" wp14:editId="5A04630B">
            <wp:extent cx="2952750" cy="2219325"/>
            <wp:effectExtent l="0" t="0" r="0" b="0"/>
            <wp:docPr id="50" name="image6.jpg" descr="Immagine che contiene testo, interni, computer, elettronico&#10;&#10;Descrizione generata automaticamente"/>
            <wp:cNvGraphicFramePr/>
            <a:graphic xmlns:a="http://schemas.openxmlformats.org/drawingml/2006/main">
              <a:graphicData uri="http://schemas.openxmlformats.org/drawingml/2006/picture">
                <pic:pic xmlns:pic="http://schemas.openxmlformats.org/drawingml/2006/picture">
                  <pic:nvPicPr>
                    <pic:cNvPr id="50" name="image6.jpg" descr="Immagine che contiene testo, interni, computer, elettronico&#10;&#10;Descrizione generata automaticamente"/>
                    <pic:cNvPicPr preferRelativeResize="0"/>
                  </pic:nvPicPr>
                  <pic:blipFill>
                    <a:blip r:embed="rId26"/>
                    <a:srcRect/>
                    <a:stretch>
                      <a:fillRect/>
                    </a:stretch>
                  </pic:blipFill>
                  <pic:spPr>
                    <a:xfrm>
                      <a:off x="0" y="0"/>
                      <a:ext cx="2952750" cy="2219325"/>
                    </a:xfrm>
                    <a:prstGeom prst="rect">
                      <a:avLst/>
                    </a:prstGeom>
                    <a:ln/>
                  </pic:spPr>
                </pic:pic>
              </a:graphicData>
            </a:graphic>
          </wp:inline>
        </w:drawing>
      </w:r>
    </w:p>
    <w:p w14:paraId="50325747" w14:textId="77777777" w:rsidR="008E43B1" w:rsidRDefault="008E43B1">
      <w:pPr>
        <w:jc w:val="both"/>
      </w:pPr>
    </w:p>
    <w:p w14:paraId="19A4691D" w14:textId="77777777" w:rsidR="00646DE1" w:rsidRDefault="00646DE1">
      <w:pPr>
        <w:jc w:val="both"/>
      </w:pPr>
    </w:p>
    <w:p w14:paraId="53614730" w14:textId="77777777" w:rsidR="00646DE1" w:rsidRDefault="00646DE1">
      <w:pPr>
        <w:jc w:val="both"/>
        <w:sectPr w:rsidR="00646DE1">
          <w:type w:val="continuous"/>
          <w:pgSz w:w="11906" w:h="16838"/>
          <w:pgMar w:top="851" w:right="849" w:bottom="1134" w:left="993" w:header="708" w:footer="708" w:gutter="0"/>
          <w:pgNumType w:start="1"/>
          <w:cols w:num="2" w:space="720" w:equalWidth="0">
            <w:col w:w="4672" w:space="720"/>
            <w:col w:w="4672" w:space="0"/>
          </w:cols>
        </w:sectPr>
      </w:pPr>
    </w:p>
    <w:p w14:paraId="55F4EB7B" w14:textId="366CA755" w:rsidR="00646DE1" w:rsidRDefault="00386284">
      <w:pPr>
        <w:jc w:val="both"/>
      </w:pPr>
      <w:r>
        <w:rPr>
          <w:b/>
          <w:u w:val="single"/>
        </w:rPr>
        <w:lastRenderedPageBreak/>
        <w:t xml:space="preserve">Malvern </w:t>
      </w:r>
      <w:proofErr w:type="spellStart"/>
      <w:r>
        <w:rPr>
          <w:b/>
          <w:u w:val="single"/>
        </w:rPr>
        <w:t>MicroCal</w:t>
      </w:r>
      <w:proofErr w:type="spellEnd"/>
      <w:r>
        <w:rPr>
          <w:b/>
          <w:u w:val="single"/>
        </w:rPr>
        <w:t xml:space="preserve"> VP-DSC</w:t>
      </w:r>
      <w:r>
        <w:t>: Differential Scanning Calorimetry (DSC) is a pow</w:t>
      </w:r>
      <w:r>
        <w:t>erful analytical tool to characterize the stability of proteins and other biomolecules. The VP-DSC microcalorimeter directly measures the enthalpy (ΔH) and the thermal transition temperature (Tm, transition midpoint) of structural transitions of biomolecul</w:t>
      </w:r>
      <w:r>
        <w:t>es in solution and provides a "fingerprint" that can be used to characterize and evaluate their structural conformation, such as hydrophobic interactions, hydrogen bonds, conformational entropy, and chemical surroundings. These analyses are very lengthy, b</w:t>
      </w:r>
      <w:r>
        <w:t>ut they provide a complete thermodynamic profile of protein folding/unfolding process without labeling or the use of artificial probes, so molecules are studied in their native states.</w:t>
      </w:r>
    </w:p>
    <w:p w14:paraId="015C3463" w14:textId="49525889" w:rsidR="00386284" w:rsidRDefault="00386284">
      <w:pPr>
        <w:jc w:val="both"/>
      </w:pPr>
    </w:p>
    <w:p w14:paraId="771B5DCD" w14:textId="77777777" w:rsidR="00386284" w:rsidRDefault="00386284">
      <w:pPr>
        <w:jc w:val="both"/>
      </w:pPr>
    </w:p>
    <w:p w14:paraId="2FFAAEDE" w14:textId="77777777" w:rsidR="00646DE1" w:rsidRDefault="00386284">
      <w:pPr>
        <w:spacing w:after="0"/>
        <w:jc w:val="center"/>
      </w:pPr>
      <w:r>
        <w:br w:type="column"/>
      </w:r>
      <w:r>
        <w:rPr>
          <w:noProof/>
        </w:rPr>
        <w:drawing>
          <wp:inline distT="0" distB="0" distL="0" distR="0" wp14:anchorId="662431C7" wp14:editId="15968D4A">
            <wp:extent cx="1888142" cy="1514717"/>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888142" cy="1514717"/>
                    </a:xfrm>
                    <a:prstGeom prst="rect">
                      <a:avLst/>
                    </a:prstGeom>
                    <a:ln/>
                  </pic:spPr>
                </pic:pic>
              </a:graphicData>
            </a:graphic>
          </wp:inline>
        </w:drawing>
      </w:r>
    </w:p>
    <w:p w14:paraId="3F1344AE" w14:textId="77777777" w:rsidR="00646DE1" w:rsidRDefault="00646DE1">
      <w:pPr>
        <w:spacing w:after="0"/>
        <w:jc w:val="center"/>
      </w:pPr>
    </w:p>
    <w:p w14:paraId="613E8C5E" w14:textId="77777777" w:rsidR="00646DE1" w:rsidRDefault="00386284">
      <w:pPr>
        <w:spacing w:after="0"/>
        <w:jc w:val="center"/>
      </w:pPr>
      <w:r>
        <w:rPr>
          <w:noProof/>
        </w:rPr>
        <w:drawing>
          <wp:inline distT="0" distB="0" distL="0" distR="0" wp14:anchorId="4BB71C3C" wp14:editId="4AC30728">
            <wp:extent cx="2779158" cy="1568630"/>
            <wp:effectExtent l="0" t="0" r="0" b="0"/>
            <wp:docPr id="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2779158" cy="1568630"/>
                    </a:xfrm>
                    <a:prstGeom prst="rect">
                      <a:avLst/>
                    </a:prstGeom>
                    <a:ln/>
                  </pic:spPr>
                </pic:pic>
              </a:graphicData>
            </a:graphic>
          </wp:inline>
        </w:drawing>
      </w:r>
    </w:p>
    <w:p w14:paraId="379BE517" w14:textId="77777777" w:rsidR="00646DE1" w:rsidRDefault="00646DE1">
      <w:pPr>
        <w:jc w:val="both"/>
      </w:pPr>
    </w:p>
    <w:p w14:paraId="72B06F41" w14:textId="77777777" w:rsidR="00646DE1" w:rsidRDefault="00646DE1">
      <w:pPr>
        <w:jc w:val="both"/>
      </w:pPr>
    </w:p>
    <w:p w14:paraId="75A910E3" w14:textId="77777777" w:rsidR="00646DE1" w:rsidRDefault="00646DE1">
      <w:pPr>
        <w:jc w:val="both"/>
      </w:pPr>
    </w:p>
    <w:p w14:paraId="71F9D377" w14:textId="77777777" w:rsidR="00646DE1" w:rsidRDefault="00646DE1">
      <w:pPr>
        <w:jc w:val="both"/>
        <w:sectPr w:rsidR="00646DE1">
          <w:type w:val="continuous"/>
          <w:pgSz w:w="11906" w:h="16838"/>
          <w:pgMar w:top="851" w:right="849" w:bottom="1134" w:left="993" w:header="708" w:footer="708" w:gutter="0"/>
          <w:pgNumType w:start="1"/>
          <w:cols w:num="2" w:space="720" w:equalWidth="0">
            <w:col w:w="4672" w:space="720"/>
            <w:col w:w="4672" w:space="0"/>
          </w:cols>
        </w:sectPr>
      </w:pPr>
    </w:p>
    <w:p w14:paraId="2724242E" w14:textId="77777777" w:rsidR="00386284" w:rsidRDefault="00386284">
      <w:pPr>
        <w:jc w:val="both"/>
      </w:pPr>
      <w:bookmarkStart w:id="3" w:name="_heading=h.2et92p0" w:colFirst="0" w:colLast="0"/>
      <w:bookmarkEnd w:id="3"/>
      <w:r>
        <w:rPr>
          <w:b/>
          <w:u w:val="single"/>
        </w:rPr>
        <w:t xml:space="preserve">Perkin </w:t>
      </w:r>
      <w:proofErr w:type="spellStart"/>
      <w:r>
        <w:rPr>
          <w:b/>
          <w:u w:val="single"/>
        </w:rPr>
        <w:t>Ellmer</w:t>
      </w:r>
      <w:proofErr w:type="spellEnd"/>
      <w:r>
        <w:rPr>
          <w:b/>
          <w:u w:val="single"/>
        </w:rPr>
        <w:t xml:space="preserve"> Victor NIVO</w:t>
      </w:r>
      <w:r>
        <w:t xml:space="preserve">: The Victor </w:t>
      </w:r>
      <w:proofErr w:type="spellStart"/>
      <w:r>
        <w:t>Nivo</w:t>
      </w:r>
      <w:proofErr w:type="spellEnd"/>
      <w:r>
        <w:t xml:space="preserve"> </w:t>
      </w:r>
      <w:proofErr w:type="spellStart"/>
      <w:r>
        <w:t>MultiMode</w:t>
      </w:r>
      <w:proofErr w:type="spellEnd"/>
      <w:r>
        <w:t xml:space="preserve"> microplate reader is a simple and versatile compact instrument. It detects in five different modalities: absorbance, luminescence, fluorescen</w:t>
      </w:r>
      <w:r>
        <w:t>ce intensity, fluorescence polarization and time-resolved fluorescence. It allows to work using expanded temperature control up to +50 °</w:t>
      </w:r>
      <w:proofErr w:type="spellStart"/>
      <w:r>
        <w:t>C.</w:t>
      </w:r>
      <w:proofErr w:type="spellEnd"/>
    </w:p>
    <w:p w14:paraId="183277F1" w14:textId="1891A999" w:rsidR="00646DE1" w:rsidRDefault="00386284">
      <w:pPr>
        <w:jc w:val="both"/>
      </w:pPr>
      <w:r>
        <w:t xml:space="preserve">It includes different filters, 355/40 nm, 405/10 nm, 430/30 nm, 530/30 nm, 700 IR Blocker, Unfiltered (00240 building) </w:t>
      </w:r>
      <w:r w:rsidRPr="00386284">
        <w:t xml:space="preserve">and </w:t>
      </w:r>
      <w:r w:rsidRPr="00386284">
        <w:t>355 nm - 405/10 nm - 440 nm - 460/30 nm - 510/30 nm - 510/60 nm - 530/30 nm - 570/10 nm - 630 nm - 750 nm (</w:t>
      </w:r>
      <w:r>
        <w:t>00200 building</w:t>
      </w:r>
      <w:r w:rsidRPr="00386284">
        <w:t>)</w:t>
      </w:r>
      <w:r w:rsidRPr="00386284">
        <w:t>,</w:t>
      </w:r>
      <w:r>
        <w:t xml:space="preserve"> but others can be added to perform featured measures. 6-well to 384-well microplate formats can be used for the analyses.</w:t>
      </w:r>
    </w:p>
    <w:p w14:paraId="46C2162F" w14:textId="77777777" w:rsidR="00386284" w:rsidRDefault="00386284">
      <w:pPr>
        <w:jc w:val="both"/>
      </w:pPr>
    </w:p>
    <w:p w14:paraId="365AF2CE" w14:textId="5A218753" w:rsidR="00386284" w:rsidRDefault="00386284">
      <w:pPr>
        <w:jc w:val="both"/>
      </w:pPr>
    </w:p>
    <w:p w14:paraId="535167B9" w14:textId="77777777" w:rsidR="00386284" w:rsidRDefault="00386284">
      <w:pPr>
        <w:jc w:val="both"/>
        <w:rPr>
          <w:highlight w:val="yellow"/>
        </w:rPr>
      </w:pPr>
    </w:p>
    <w:p w14:paraId="633007D4" w14:textId="1ED9ECA8" w:rsidR="00646DE1" w:rsidRDefault="00386284">
      <w:pPr>
        <w:jc w:val="center"/>
        <w:rPr>
          <w:highlight w:val="yellow"/>
        </w:rPr>
      </w:pPr>
      <w:r>
        <w:rPr>
          <w:noProof/>
        </w:rPr>
        <w:drawing>
          <wp:inline distT="0" distB="0" distL="0" distR="0" wp14:anchorId="36F66FCF" wp14:editId="272C2FB8">
            <wp:extent cx="2776077" cy="2082058"/>
            <wp:effectExtent l="0" t="0" r="0" b="0"/>
            <wp:docPr id="3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9"/>
                    <a:srcRect/>
                    <a:stretch>
                      <a:fillRect/>
                    </a:stretch>
                  </pic:blipFill>
                  <pic:spPr>
                    <a:xfrm>
                      <a:off x="0" y="0"/>
                      <a:ext cx="2776077" cy="2082058"/>
                    </a:xfrm>
                    <a:prstGeom prst="rect">
                      <a:avLst/>
                    </a:prstGeom>
                    <a:ln/>
                  </pic:spPr>
                </pic:pic>
              </a:graphicData>
            </a:graphic>
          </wp:inline>
        </w:drawing>
      </w:r>
    </w:p>
    <w:p w14:paraId="2958ABDE" w14:textId="49C63E63" w:rsidR="00386284" w:rsidRDefault="00386284">
      <w:pPr>
        <w:jc w:val="center"/>
        <w:rPr>
          <w:highlight w:val="yellow"/>
        </w:rPr>
      </w:pPr>
    </w:p>
    <w:p w14:paraId="44A94175" w14:textId="308CCB22" w:rsidR="00646DE1" w:rsidRDefault="00646DE1" w:rsidP="00386284">
      <w:pPr>
        <w:spacing w:after="0"/>
        <w:rPr>
          <w:highlight w:val="lightGray"/>
        </w:rPr>
      </w:pPr>
    </w:p>
    <w:p w14:paraId="2C40FF7F" w14:textId="77777777" w:rsidR="00646DE1" w:rsidRDefault="00646DE1">
      <w:pPr>
        <w:sectPr w:rsidR="00646DE1">
          <w:type w:val="continuous"/>
          <w:pgSz w:w="11906" w:h="16838"/>
          <w:pgMar w:top="851" w:right="849" w:bottom="1134" w:left="993" w:header="708" w:footer="708" w:gutter="0"/>
          <w:pgNumType w:start="1"/>
          <w:cols w:num="2" w:space="720" w:equalWidth="0">
            <w:col w:w="4672" w:space="720"/>
            <w:col w:w="4672" w:space="0"/>
          </w:cols>
        </w:sectPr>
      </w:pPr>
      <w:bookmarkStart w:id="4" w:name="_heading=h.30j0zll" w:colFirst="0" w:colLast="0"/>
      <w:bookmarkEnd w:id="4"/>
    </w:p>
    <w:p w14:paraId="5CB536F8" w14:textId="77777777" w:rsidR="00386284" w:rsidRDefault="00386284">
      <w:pPr>
        <w:jc w:val="both"/>
      </w:pPr>
      <w:r>
        <w:pict w14:anchorId="652F5F50">
          <v:rect id="_x0000_i1027" style="width:0;height:1.5pt" o:hralign="center" o:hrstd="t" o:hr="t" fillcolor="#a0a0a0" stroked="f"/>
        </w:pict>
      </w:r>
    </w:p>
    <w:p w14:paraId="54966462" w14:textId="7505059C" w:rsidR="00646DE1" w:rsidRDefault="00646DE1">
      <w:pPr>
        <w:jc w:val="both"/>
        <w:rPr>
          <w:rFonts w:ascii="Arial" w:eastAsia="Arial" w:hAnsi="Arial" w:cs="Arial"/>
          <w:sz w:val="24"/>
          <w:szCs w:val="24"/>
          <w:u w:val="single"/>
        </w:rPr>
      </w:pPr>
    </w:p>
    <w:sectPr w:rsidR="00646DE1">
      <w:type w:val="continuous"/>
      <w:pgSz w:w="11906" w:h="16838"/>
      <w:pgMar w:top="851" w:right="849" w:bottom="1134" w:left="993"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DE1"/>
    <w:rsid w:val="00386284"/>
    <w:rsid w:val="00646DE1"/>
    <w:rsid w:val="008E4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24F82"/>
  <w15:docId w15:val="{F8275F85-1CCF-467C-869A-48464A15E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6247B"/>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styleId="Collegamentoipertestuale">
    <w:name w:val="Hyperlink"/>
    <w:uiPriority w:val="99"/>
    <w:unhideWhenUsed/>
    <w:rsid w:val="00F2761D"/>
    <w:rPr>
      <w:color w:val="0000FF"/>
      <w:u w:val="single"/>
    </w:rPr>
  </w:style>
  <w:style w:type="paragraph" w:styleId="NormaleWeb">
    <w:name w:val="Normal (Web)"/>
    <w:basedOn w:val="Normale"/>
    <w:uiPriority w:val="99"/>
    <w:semiHidden/>
    <w:unhideWhenUsed/>
    <w:rsid w:val="00D166D9"/>
    <w:pPr>
      <w:spacing w:before="100" w:beforeAutospacing="1" w:after="100" w:afterAutospacing="1" w:line="240" w:lineRule="auto"/>
    </w:pPr>
    <w:rPr>
      <w:rFonts w:ascii="Times New Roman" w:eastAsia="Times New Roman" w:hAnsi="Times New Roman" w:cs="Times New Roman"/>
      <w:sz w:val="24"/>
      <w:szCs w:val="24"/>
    </w:rPr>
  </w:style>
  <w:style w:type="paragraph" w:styleId="Paragrafoelenco">
    <w:name w:val="List Paragraph"/>
    <w:basedOn w:val="Normale"/>
    <w:uiPriority w:val="34"/>
    <w:qFormat/>
    <w:rsid w:val="003262FE"/>
    <w:pPr>
      <w:ind w:left="720"/>
      <w:contextualSpacing/>
    </w:pPr>
  </w:style>
  <w:style w:type="table" w:styleId="Grigliatabella">
    <w:name w:val="Table Grid"/>
    <w:basedOn w:val="Tabellanormale"/>
    <w:uiPriority w:val="39"/>
    <w:unhideWhenUsed/>
    <w:rsid w:val="00326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9E16B8"/>
    <w:rPr>
      <w:sz w:val="16"/>
      <w:szCs w:val="16"/>
    </w:rPr>
  </w:style>
  <w:style w:type="paragraph" w:styleId="Testocommento">
    <w:name w:val="annotation text"/>
    <w:basedOn w:val="Normale"/>
    <w:link w:val="TestocommentoCarattere"/>
    <w:uiPriority w:val="99"/>
    <w:semiHidden/>
    <w:unhideWhenUsed/>
    <w:rsid w:val="009E16B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16B8"/>
    <w:rPr>
      <w:sz w:val="20"/>
      <w:szCs w:val="20"/>
    </w:rPr>
  </w:style>
  <w:style w:type="paragraph" w:styleId="Soggettocommento">
    <w:name w:val="annotation subject"/>
    <w:basedOn w:val="Testocommento"/>
    <w:next w:val="Testocommento"/>
    <w:link w:val="SoggettocommentoCarattere"/>
    <w:uiPriority w:val="99"/>
    <w:semiHidden/>
    <w:unhideWhenUsed/>
    <w:rsid w:val="009E16B8"/>
    <w:rPr>
      <w:b/>
      <w:bCs/>
    </w:rPr>
  </w:style>
  <w:style w:type="character" w:customStyle="1" w:styleId="SoggettocommentoCarattere">
    <w:name w:val="Soggetto commento Carattere"/>
    <w:basedOn w:val="TestocommentoCarattere"/>
    <w:link w:val="Soggettocommento"/>
    <w:uiPriority w:val="99"/>
    <w:semiHidden/>
    <w:rsid w:val="009E16B8"/>
    <w:rPr>
      <w:b/>
      <w:bCs/>
      <w:sz w:val="20"/>
      <w:szCs w:val="20"/>
    </w:rPr>
  </w:style>
  <w:style w:type="paragraph" w:styleId="Testofumetto">
    <w:name w:val="Balloon Text"/>
    <w:basedOn w:val="Normale"/>
    <w:link w:val="TestofumettoCarattere"/>
    <w:uiPriority w:val="99"/>
    <w:semiHidden/>
    <w:unhideWhenUsed/>
    <w:rsid w:val="009E16B8"/>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16B8"/>
    <w:rPr>
      <w:rFonts w:ascii="Segoe UI" w:hAnsi="Segoe UI" w:cs="Segoe UI"/>
      <w:sz w:val="18"/>
      <w:szCs w:val="18"/>
    </w:rPr>
  </w:style>
  <w:style w:type="character" w:customStyle="1" w:styleId="tlid-translation">
    <w:name w:val="tlid-translation"/>
    <w:basedOn w:val="Carpredefinitoparagrafo"/>
    <w:rsid w:val="00007BA7"/>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721C6F"/>
    <w:pPr>
      <w:autoSpaceDE w:val="0"/>
      <w:autoSpaceDN w:val="0"/>
      <w:adjustRightInd w:val="0"/>
      <w:spacing w:after="0" w:line="240" w:lineRule="auto"/>
    </w:pPr>
    <w:rPr>
      <w:color w:val="000000"/>
      <w:sz w:val="24"/>
      <w:szCs w:val="24"/>
      <w:lang w:val="it-IT"/>
    </w:rPr>
  </w:style>
  <w:style w:type="character" w:customStyle="1" w:styleId="Menzionenonrisolta1">
    <w:name w:val="Menzione non risolta1"/>
    <w:basedOn w:val="Carpredefinitoparagrafo"/>
    <w:uiPriority w:val="99"/>
    <w:semiHidden/>
    <w:unhideWhenUsed/>
    <w:rsid w:val="00F248E9"/>
    <w:rPr>
      <w:color w:val="605E5C"/>
      <w:shd w:val="clear" w:color="auto" w:fill="E1DFDD"/>
    </w:rPr>
  </w:style>
  <w:style w:type="character" w:customStyle="1" w:styleId="Menzionenonrisolta2">
    <w:name w:val="Menzione non risolta2"/>
    <w:basedOn w:val="Carpredefinitoparagrafo"/>
    <w:uiPriority w:val="99"/>
    <w:semiHidden/>
    <w:unhideWhenUsed/>
    <w:rsid w:val="00BA7DF3"/>
    <w:rPr>
      <w:color w:val="605E5C"/>
      <w:shd w:val="clear" w:color="auto" w:fill="E1DFDD"/>
    </w:rPr>
  </w:style>
  <w:style w:type="character" w:styleId="Collegamentovisitato">
    <w:name w:val="FollowedHyperlink"/>
    <w:basedOn w:val="Carpredefinitoparagrafo"/>
    <w:uiPriority w:val="99"/>
    <w:semiHidden/>
    <w:unhideWhenUsed/>
    <w:rsid w:val="00D82D74"/>
    <w:rPr>
      <w:color w:val="954F72" w:themeColor="followedHyperlink"/>
      <w:u w:val="single"/>
    </w:rPr>
  </w:style>
  <w:style w:type="character" w:styleId="Menzionenonrisolta">
    <w:name w:val="Unresolved Mention"/>
    <w:basedOn w:val="Carpredefinitoparagrafo"/>
    <w:uiPriority w:val="99"/>
    <w:semiHidden/>
    <w:unhideWhenUsed/>
    <w:rsid w:val="008E4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sara.bersani@unipd.i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https://www.dsfarm.unipd.it/ricerca/technical-services-and-scientific-equipments" TargetMode="Externa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3.png"/><Relationship Id="rId24" Type="http://schemas.openxmlformats.org/officeDocument/2006/relationships/image" Target="media/image16.jpg"/><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10" Type="http://schemas.openxmlformats.org/officeDocument/2006/relationships/hyperlink" Target="http://147.162.61.199/" TargetMode="External"/><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ianfranco.pasut@unipd.i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5Z05KjYQioXQZcsM22c9N/iwig==">AMUW2mXSX09Z6wTRA71nFJQmP2CCgfNuSkXs1VqLCL1sLd40U9pDolarHFYjTjthbHhczuIZJI5Muy8szAZO3mapqxaehKnY/77Q02LKPHnnf5h7AKNXsRy2IQ09+T3+AqrZmq6E1OTg02pc9Kib8ftj+OBKggdYTb8f2s9ZpCNoziNLAfcjg1EzwOj5XkE41+Pto2cIvEo2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Pages>
  <Words>1066</Words>
  <Characters>6077</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PDM</dc:creator>
  <cp:lastModifiedBy>Bersani Sara</cp:lastModifiedBy>
  <cp:revision>2</cp:revision>
  <dcterms:created xsi:type="dcterms:W3CDTF">2021-07-26T09:44:00Z</dcterms:created>
  <dcterms:modified xsi:type="dcterms:W3CDTF">2022-07-08T08:11:00Z</dcterms:modified>
</cp:coreProperties>
</file>